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C1" w:rsidRDefault="0068727E">
      <w:pPr>
        <w:pStyle w:val="cmjNASLOV"/>
      </w:pPr>
      <w:bookmarkStart w:id="0" w:name="_GoBack"/>
      <w:bookmarkEnd w:id="0"/>
      <w:r>
        <w:t xml:space="preserve">Učinci d-limonena i l-limonena na kontraktilnost miometrija trudnih ženki štakora </w:t>
      </w:r>
      <w:r>
        <w:rPr>
          <w:i/>
          <w:iCs/>
        </w:rPr>
        <w:t>in vitro</w:t>
      </w:r>
    </w:p>
    <w:p w:rsidR="00954BC1" w:rsidRDefault="0068727E">
      <w:pPr>
        <w:pStyle w:val="cmjTEXT"/>
        <w:rPr>
          <w:lang w:val="hr-HR"/>
        </w:rPr>
      </w:pPr>
      <w:r>
        <w:rPr>
          <w:b/>
          <w:lang w:val="hr-HR"/>
        </w:rPr>
        <w:t>Cilj</w:t>
      </w:r>
      <w:r>
        <w:rPr>
          <w:lang w:val="hr-HR"/>
        </w:rPr>
        <w:t xml:space="preserve"> Utvrditi učinke d-limonena i l-limonena na kontraktilnost miometrija kod trudnih ženki štakora </w:t>
      </w:r>
      <w:r>
        <w:rPr>
          <w:i/>
          <w:lang w:val="hr-HR"/>
        </w:rPr>
        <w:t>in vitro</w:t>
      </w:r>
      <w:r>
        <w:rPr>
          <w:lang w:val="hr-HR"/>
        </w:rPr>
        <w:t xml:space="preserve"> i istražiti kako druge tvari utječu na ove učinke. D-limonen i l-limonen pojačavali su kontrakcije miometrija ovisno o dozi. </w:t>
      </w:r>
    </w:p>
    <w:p w:rsidR="00954BC1" w:rsidRDefault="0068727E">
      <w:pPr>
        <w:pStyle w:val="cmjTEXT"/>
        <w:rPr>
          <w:lang w:val="hr-HR"/>
        </w:rPr>
      </w:pPr>
      <w:r>
        <w:rPr>
          <w:b/>
          <w:lang w:val="hr-HR"/>
        </w:rPr>
        <w:t xml:space="preserve">Postupci </w:t>
      </w:r>
      <w:r>
        <w:rPr>
          <w:lang w:val="hr-HR"/>
        </w:rPr>
        <w:t>Kontrakcije uterinih prstenova ženki štakora trudnih 22 dana mjerene su u vodenoj kupci uz prisutnost d-limonena ili l-l</w:t>
      </w:r>
      <w:r>
        <w:rPr>
          <w:lang w:val="hr-HR"/>
        </w:rPr>
        <w:t>imonena (10</w:t>
      </w:r>
      <w:r>
        <w:rPr>
          <w:vertAlign w:val="superscript"/>
          <w:lang w:val="hr-HR"/>
        </w:rPr>
        <w:t>-13</w:t>
      </w:r>
      <w:r>
        <w:rPr>
          <w:lang w:val="hr-HR"/>
        </w:rPr>
        <w:t>-10</w:t>
      </w:r>
      <w:r>
        <w:rPr>
          <w:vertAlign w:val="superscript"/>
          <w:lang w:val="hr-HR"/>
        </w:rPr>
        <w:t>-8</w:t>
      </w:r>
      <w:r>
        <w:rPr>
          <w:lang w:val="hr-HR"/>
        </w:rPr>
        <w:t xml:space="preserve"> M), nifedipina (10</w:t>
      </w:r>
      <w:r>
        <w:rPr>
          <w:vertAlign w:val="superscript"/>
          <w:lang w:val="hr-HR"/>
        </w:rPr>
        <w:t xml:space="preserve">-8 </w:t>
      </w:r>
      <w:r>
        <w:rPr>
          <w:lang w:val="hr-HR"/>
        </w:rPr>
        <w:t>M), tetraetil-amonija (10</w:t>
      </w:r>
      <w:r>
        <w:rPr>
          <w:vertAlign w:val="superscript"/>
          <w:lang w:val="hr-HR"/>
        </w:rPr>
        <w:t xml:space="preserve">-3 </w:t>
      </w:r>
      <w:r>
        <w:rPr>
          <w:lang w:val="hr-HR"/>
        </w:rPr>
        <w:t>M), teofilina (10</w:t>
      </w:r>
      <w:r>
        <w:rPr>
          <w:vertAlign w:val="superscript"/>
          <w:lang w:val="hr-HR"/>
        </w:rPr>
        <w:t xml:space="preserve">-5 </w:t>
      </w:r>
      <w:r>
        <w:rPr>
          <w:lang w:val="hr-HR"/>
        </w:rPr>
        <w:t>M) ili paksilina (10</w:t>
      </w:r>
      <w:r>
        <w:rPr>
          <w:vertAlign w:val="superscript"/>
          <w:lang w:val="hr-HR"/>
        </w:rPr>
        <w:t xml:space="preserve">-5 </w:t>
      </w:r>
      <w:r>
        <w:rPr>
          <w:lang w:val="hr-HR"/>
        </w:rPr>
        <w:t>M). Uterina razina cikličnog adenozin monofosfata utvrđena je enzimskim imunotestom. Oksidativno oštećenje izazvano je metilgliokasalom (3×10</w:t>
      </w:r>
      <w:r>
        <w:rPr>
          <w:vertAlign w:val="superscript"/>
          <w:lang w:val="hr-HR"/>
        </w:rPr>
        <w:t>-2</w:t>
      </w:r>
      <w:r>
        <w:rPr>
          <w:lang w:val="hr-HR"/>
        </w:rPr>
        <w:t xml:space="preserve"> </w:t>
      </w:r>
      <w:r>
        <w:rPr>
          <w:lang w:val="hr-HR"/>
        </w:rPr>
        <w:t>M), a kontrakcije su izazvane noradrenalinom (1×10</w:t>
      </w:r>
      <w:r>
        <w:rPr>
          <w:vertAlign w:val="superscript"/>
          <w:lang w:val="hr-HR"/>
        </w:rPr>
        <w:t>-9</w:t>
      </w:r>
      <w:r>
        <w:rPr>
          <w:lang w:val="hr-HR"/>
        </w:rPr>
        <w:t xml:space="preserve"> do 3×10</w:t>
      </w:r>
      <w:r>
        <w:rPr>
          <w:vertAlign w:val="superscript"/>
          <w:lang w:val="hr-HR"/>
        </w:rPr>
        <w:t>-5</w:t>
      </w:r>
      <w:r>
        <w:rPr>
          <w:lang w:val="hr-HR"/>
        </w:rPr>
        <w:t xml:space="preserve"> M).</w:t>
      </w:r>
    </w:p>
    <w:p w:rsidR="00954BC1" w:rsidRDefault="0068727E">
      <w:pPr>
        <w:pStyle w:val="cmjTEXT"/>
      </w:pPr>
      <w:r>
        <w:rPr>
          <w:b/>
          <w:lang w:val="hr-HR"/>
        </w:rPr>
        <w:t xml:space="preserve">Rezultati </w:t>
      </w:r>
      <w:r>
        <w:rPr>
          <w:lang w:val="hr-HR"/>
        </w:rPr>
        <w:t>Tretiranje nifedipinom, tetraetil-amonijem i teofilinom smanjili su kontraktilni učinak d- i l-limonena, a tretiranje paksilinom ga je poništilo. Dva enantiomera smanjila su razin</w:t>
      </w:r>
      <w:r>
        <w:rPr>
          <w:lang w:val="hr-HR"/>
        </w:rPr>
        <w:t>u cikličnog adenozin monofosfata u odnosu na kontrolnu razinu, dok je nakon tretmana paksilinom ona ostala nepromijenjena. Osim toga, l-limonen (10</w:t>
      </w:r>
      <w:r>
        <w:rPr>
          <w:vertAlign w:val="superscript"/>
          <w:lang w:val="hr-HR"/>
        </w:rPr>
        <w:t>-6</w:t>
      </w:r>
      <w:r>
        <w:rPr>
          <w:lang w:val="hr-HR"/>
        </w:rPr>
        <w:t xml:space="preserve"> M) ublažio je posljedice oksidativnog oštećenja, dok d-limonen u tom smislu nije bio učinkovit. </w:t>
      </w:r>
    </w:p>
    <w:p w:rsidR="00954BC1" w:rsidRDefault="0068727E">
      <w:pPr>
        <w:pStyle w:val="cmjTEXT"/>
      </w:pPr>
      <w:r>
        <w:rPr>
          <w:b/>
          <w:lang w:val="hr-HR"/>
        </w:rPr>
        <w:t>Zaključak</w:t>
      </w:r>
      <w:r>
        <w:rPr>
          <w:b/>
          <w:lang w:val="hr-HR"/>
        </w:rPr>
        <w:t xml:space="preserve"> </w:t>
      </w:r>
      <w:r>
        <w:rPr>
          <w:lang w:val="hr-HR"/>
        </w:rPr>
        <w:t>Naše istraživanje pokazalo je da l-limonen ima antioksidativan učinak, te da d-limonen i l-limonen uzrokuju kontrakcije miometrija aktivacijom A</w:t>
      </w:r>
      <w:r>
        <w:rPr>
          <w:vertAlign w:val="subscript"/>
          <w:lang w:val="hr-HR"/>
        </w:rPr>
        <w:t>2A</w:t>
      </w:r>
      <w:r>
        <w:rPr>
          <w:lang w:val="hr-HR"/>
        </w:rPr>
        <w:t xml:space="preserve"> receptora i otvaranjem voltažnih Ca</w:t>
      </w:r>
      <w:r>
        <w:rPr>
          <w:vertAlign w:val="superscript"/>
          <w:lang w:val="hr-HR"/>
        </w:rPr>
        <w:t xml:space="preserve">2+ </w:t>
      </w:r>
      <w:r>
        <w:rPr>
          <w:lang w:val="hr-HR"/>
        </w:rPr>
        <w:t>kanala. Proizvodi koji sadržavaju limonen mogu izazvati kontrakcije ma</w:t>
      </w:r>
      <w:r>
        <w:rPr>
          <w:lang w:val="hr-HR"/>
        </w:rPr>
        <w:t>ternice i trebalo bi ih izbjegavati u trudnoći.</w:t>
      </w:r>
    </w:p>
    <w:p w:rsidR="00954BC1" w:rsidRDefault="00954BC1">
      <w:pPr>
        <w:pStyle w:val="cmjNASLOV"/>
        <w:rPr>
          <w:lang w:val="hr-HR"/>
        </w:rPr>
      </w:pPr>
    </w:p>
    <w:p w:rsidR="00954BC1" w:rsidRDefault="00954BC1">
      <w:pPr>
        <w:pStyle w:val="cmjAUTORI"/>
        <w:rPr>
          <w:vertAlign w:val="superscript"/>
          <w:lang w:val="hr-HR"/>
        </w:rPr>
      </w:pPr>
    </w:p>
    <w:p w:rsidR="00954BC1" w:rsidRDefault="00954BC1">
      <w:pPr>
        <w:pStyle w:val="cmjREF"/>
        <w:rPr>
          <w:lang w:val="hr-HR"/>
        </w:rPr>
      </w:pPr>
    </w:p>
    <w:p w:rsidR="00954BC1" w:rsidRDefault="00954BC1">
      <w:pPr>
        <w:spacing w:line="360" w:lineRule="auto"/>
        <w:rPr>
          <w:color w:val="000000"/>
          <w:lang w:val="hr-HR"/>
        </w:rPr>
      </w:pPr>
    </w:p>
    <w:p w:rsidR="00954BC1" w:rsidRDefault="00954BC1">
      <w:pPr>
        <w:pStyle w:val="Heading2"/>
        <w:spacing w:line="360" w:lineRule="auto"/>
        <w:jc w:val="left"/>
      </w:pPr>
    </w:p>
    <w:sectPr w:rsidR="00954BC1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7E" w:rsidRDefault="0068727E">
      <w:r>
        <w:separator/>
      </w:r>
    </w:p>
  </w:endnote>
  <w:endnote w:type="continuationSeparator" w:id="0">
    <w:p w:rsidR="0068727E" w:rsidRDefault="0068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C1" w:rsidRDefault="0068727E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4BC1" w:rsidRDefault="0068727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1A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954BC1" w:rsidRDefault="0068727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1A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7E" w:rsidRDefault="0068727E">
      <w:r>
        <w:separator/>
      </w:r>
    </w:p>
  </w:footnote>
  <w:footnote w:type="continuationSeparator" w:id="0">
    <w:p w:rsidR="0068727E" w:rsidRDefault="0068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C1"/>
    <w:rsid w:val="0068727E"/>
    <w:rsid w:val="00954BC1"/>
    <w:rsid w:val="00E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61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ascii="Times New Roman" w:hAnsi="Times New Roman"/>
      <w:b/>
      <w:bCs/>
      <w:sz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ascii="Times New Roman" w:hAnsi="Times New Roman"/>
      <w:b/>
      <w:bCs/>
      <w:sz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ascii="Times New Roman" w:hAnsi="Times New Roman"/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jc w:val="both"/>
    </w:pPr>
    <w:rPr>
      <w:rFonts w:ascii="Times New Roman" w:hAnsi="Times New Roman"/>
      <w:sz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ascii="Times New Roman" w:hAnsi="Times New Roman"/>
      <w:b/>
      <w:bCs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  <w:rPr>
      <w:rFonts w:ascii="Times New Roman" w:hAnsi="Times New Roman"/>
      <w:sz w:val="24"/>
      <w:lang w:val="tr-TR" w:eastAsia="tr-TR"/>
    </w:rPr>
  </w:style>
  <w:style w:type="paragraph" w:styleId="BodyText3">
    <w:name w:val="Body Text 3"/>
    <w:basedOn w:val="Normal"/>
    <w:semiHidden/>
    <w:qFormat/>
    <w:pPr>
      <w:jc w:val="both"/>
    </w:pPr>
    <w:rPr>
      <w:rFonts w:ascii="Times New Roman" w:hAnsi="Times New Roman"/>
      <w:sz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ascii="Times New Roman" w:hAnsi="Times New Roman"/>
      <w:sz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ascii="Times New Roman" w:hAnsi="Times New Roman"/>
      <w:sz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</w:style>
  <w:style w:type="paragraph" w:customStyle="1" w:styleId="Received">
    <w:name w:val="Received"/>
    <w:semiHidden/>
    <w:qFormat/>
    <w:rsid w:val="00AE15A8"/>
    <w:pPr>
      <w:widowControl w:val="0"/>
    </w:p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</w:style>
  <w:style w:type="paragraph" w:customStyle="1" w:styleId="Keywords">
    <w:name w:val="Keywords"/>
    <w:semiHidden/>
    <w:qFormat/>
    <w:rsid w:val="00AE15A8"/>
    <w:pPr>
      <w:widowControl w:val="0"/>
    </w:pPr>
  </w:style>
  <w:style w:type="paragraph" w:customStyle="1" w:styleId="BullList">
    <w:name w:val="BullList"/>
    <w:semiHidden/>
    <w:qFormat/>
    <w:rsid w:val="00AE15A8"/>
    <w:pPr>
      <w:widowControl w:val="0"/>
    </w:p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rPr>
      <w:rFonts w:ascii="Times New Roman" w:hAnsi="Times New Roman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rFonts w:ascii="Times New Roman" w:hAnsi="Times New Roman"/>
      <w:i/>
      <w:color w:val="000000"/>
      <w:sz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61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ascii="Times New Roman" w:hAnsi="Times New Roman"/>
      <w:b/>
      <w:bCs/>
      <w:sz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ascii="Times New Roman" w:hAnsi="Times New Roman"/>
      <w:b/>
      <w:bCs/>
      <w:sz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ascii="Times New Roman" w:hAnsi="Times New Roman"/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  <w:sz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jc w:val="both"/>
    </w:pPr>
    <w:rPr>
      <w:rFonts w:ascii="Times New Roman" w:hAnsi="Times New Roman"/>
      <w:sz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ascii="Times New Roman" w:hAnsi="Times New Roman"/>
      <w:b/>
      <w:bCs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  <w:rPr>
      <w:rFonts w:ascii="Times New Roman" w:hAnsi="Times New Roman"/>
      <w:sz w:val="24"/>
      <w:lang w:val="tr-TR" w:eastAsia="tr-TR"/>
    </w:rPr>
  </w:style>
  <w:style w:type="paragraph" w:styleId="BodyText3">
    <w:name w:val="Body Text 3"/>
    <w:basedOn w:val="Normal"/>
    <w:semiHidden/>
    <w:qFormat/>
    <w:pPr>
      <w:jc w:val="both"/>
    </w:pPr>
    <w:rPr>
      <w:rFonts w:ascii="Times New Roman" w:hAnsi="Times New Roman"/>
      <w:sz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ascii="Times New Roman" w:hAnsi="Times New Roman"/>
      <w:sz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ascii="Times New Roman" w:hAnsi="Times New Roman"/>
      <w:sz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</w:style>
  <w:style w:type="paragraph" w:customStyle="1" w:styleId="Received">
    <w:name w:val="Received"/>
    <w:semiHidden/>
    <w:qFormat/>
    <w:rsid w:val="00AE15A8"/>
    <w:pPr>
      <w:widowControl w:val="0"/>
    </w:p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</w:style>
  <w:style w:type="paragraph" w:customStyle="1" w:styleId="Keywords">
    <w:name w:val="Keywords"/>
    <w:semiHidden/>
    <w:qFormat/>
    <w:rsid w:val="00AE15A8"/>
    <w:pPr>
      <w:widowControl w:val="0"/>
    </w:pPr>
  </w:style>
  <w:style w:type="paragraph" w:customStyle="1" w:styleId="BullList">
    <w:name w:val="BullList"/>
    <w:semiHidden/>
    <w:qFormat/>
    <w:rsid w:val="00AE15A8"/>
    <w:pPr>
      <w:widowControl w:val="0"/>
    </w:p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rPr>
      <w:rFonts w:ascii="Times New Roman" w:hAnsi="Times New Roman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rFonts w:ascii="Times New Roman" w:hAnsi="Times New Roman"/>
      <w:i/>
      <w:color w:val="000000"/>
      <w:sz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Medicinski fakultet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2016-05-02T10:01:00Z</dcterms:created>
  <dcterms:modified xsi:type="dcterms:W3CDTF">2016-05-02T10:01:00Z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